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6" w:rsidRPr="00462862" w:rsidRDefault="003D74B6" w:rsidP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KARTA PRZEDMIOTU</w:t>
      </w:r>
    </w:p>
    <w:p w:rsidR="003D74B6" w:rsidRPr="00462862" w:rsidRDefault="003D74B6" w:rsidP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70"/>
        <w:gridCol w:w="5803"/>
      </w:tblGrid>
      <w:tr w:rsidR="00462862" w:rsidRPr="00462862" w:rsidTr="00D86C3A">
        <w:tc>
          <w:tcPr>
            <w:tcW w:w="221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3D74B6" w:rsidRPr="00462862" w:rsidRDefault="00462862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0912-7LEK-C3.4-I</w:t>
            </w:r>
          </w:p>
        </w:tc>
      </w:tr>
      <w:tr w:rsidR="00462862" w:rsidRPr="00462862" w:rsidTr="00D86C3A">
        <w:tc>
          <w:tcPr>
            <w:tcW w:w="2215" w:type="dxa"/>
            <w:vMerge w:val="restart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Nazwa przedmiotu w języku </w:t>
            </w:r>
          </w:p>
        </w:tc>
        <w:tc>
          <w:tcPr>
            <w:tcW w:w="1270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:rsidR="003D74B6" w:rsidRPr="00462862" w:rsidRDefault="003D74B6" w:rsidP="003D74B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bookmarkStart w:id="0" w:name="_Toc382231475"/>
            <w:bookmarkStart w:id="1" w:name="_Toc382231746"/>
            <w:bookmarkStart w:id="2" w:name="_Toc382242789"/>
            <w:bookmarkStart w:id="3" w:name="_Toc445720287"/>
            <w:r w:rsidRPr="004628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Immunologia</w:t>
            </w:r>
            <w:bookmarkEnd w:id="0"/>
            <w:bookmarkEnd w:id="1"/>
            <w:bookmarkEnd w:id="2"/>
            <w:bookmarkEnd w:id="3"/>
          </w:p>
        </w:tc>
      </w:tr>
      <w:tr w:rsidR="003D74B6" w:rsidRPr="00462862" w:rsidTr="00D86C3A">
        <w:tc>
          <w:tcPr>
            <w:tcW w:w="2215" w:type="dxa"/>
            <w:vMerge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270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Immunology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USYTUOWANIE PRZEDMIOTU W SYSTEMIE STUDIÓW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54"/>
      </w:tblGrid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1.1. Kierunek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lekarski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1.2. Forma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Stacjonarne/niestacjonarne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1.3. Poziom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Jednolite studia magisterskie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1.4. Profil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F877F7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Ogólnoakademicki</w:t>
            </w:r>
            <w:proofErr w:type="spellEnd"/>
          </w:p>
        </w:tc>
      </w:tr>
      <w:tr w:rsidR="00462862" w:rsidRPr="005718DD" w:rsidTr="00B84153">
        <w:tc>
          <w:tcPr>
            <w:tcW w:w="4322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1.5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Osoba przygotowująca kartę przedmiotu</w:t>
            </w:r>
          </w:p>
        </w:tc>
        <w:tc>
          <w:tcPr>
            <w:tcW w:w="5454" w:type="dxa"/>
            <w:shd w:val="clear" w:color="auto" w:fill="auto"/>
          </w:tcPr>
          <w:p w:rsidR="003D74B6" w:rsidRPr="005718DD" w:rsidRDefault="00712C25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Drhab</w:t>
            </w:r>
            <w:proofErr w:type="spellEnd"/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n. med. Marcin </w:t>
            </w:r>
            <w:proofErr w:type="spellStart"/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Pasiarski</w:t>
            </w:r>
            <w:proofErr w:type="spellEnd"/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prof. UJK</w:t>
            </w:r>
          </w:p>
        </w:tc>
      </w:tr>
      <w:tr w:rsidR="003D74B6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1.6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Kontakt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643DE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marcinpasiarski@gmail.com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OGÓLNA CHARAKTERYSTYKA PRZEDMIOTU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65"/>
      </w:tblGrid>
      <w:tr w:rsidR="00462862" w:rsidRPr="00462862" w:rsidTr="00B84153">
        <w:tc>
          <w:tcPr>
            <w:tcW w:w="5211" w:type="dxa"/>
            <w:shd w:val="clear" w:color="auto" w:fill="auto"/>
          </w:tcPr>
          <w:p w:rsidR="003D74B6" w:rsidRPr="00462862" w:rsidRDefault="003D74B6" w:rsidP="0041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2.</w:t>
            </w:r>
            <w:r w:rsidR="009856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</w:t>
            </w: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Język wykładowy</w:t>
            </w:r>
          </w:p>
        </w:tc>
        <w:tc>
          <w:tcPr>
            <w:tcW w:w="456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Polski</w:t>
            </w:r>
          </w:p>
        </w:tc>
      </w:tr>
      <w:tr w:rsidR="003D74B6" w:rsidRPr="005718DD" w:rsidTr="00B84153">
        <w:tc>
          <w:tcPr>
            <w:tcW w:w="5211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2.2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Wymagania wstępne</w:t>
            </w:r>
          </w:p>
        </w:tc>
        <w:tc>
          <w:tcPr>
            <w:tcW w:w="456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Anatomia, Histologia, Fizjologia, Patofizjologia, Mikrobiologia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98567B" w:rsidRDefault="0098567B" w:rsidP="0098567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9856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SZCZEGÓŁOWA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84"/>
      </w:tblGrid>
      <w:tr w:rsidR="00462862" w:rsidRPr="00462862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Formy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: 15 </w:t>
            </w:r>
            <w:r w:rsidR="00C97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ćwiczenia – 10, laboratoria-15</w:t>
            </w:r>
          </w:p>
        </w:tc>
      </w:tr>
      <w:tr w:rsidR="00462862" w:rsidRPr="005718DD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B84153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Miejsce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realizacji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/Ćwiczenia - Zajęcia w pomieszczeniach dydaktycznych </w:t>
            </w:r>
            <w:proofErr w:type="spellStart"/>
            <w:r w:rsidR="00B84153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WLiNoZ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UJK</w:t>
            </w:r>
            <w:proofErr w:type="spellEnd"/>
          </w:p>
        </w:tc>
      </w:tr>
      <w:tr w:rsidR="00462862" w:rsidRPr="00462862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B84153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Forma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zaliczenia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– egz., ćwiczenia -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zo</w:t>
            </w:r>
            <w:proofErr w:type="spellEnd"/>
          </w:p>
        </w:tc>
      </w:tr>
      <w:tr w:rsidR="00462862" w:rsidRPr="005718DD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Metody dydaktyczne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ćwiczenia praktyczne, wykład konwersatoryjny, dyskusja, </w:t>
            </w:r>
          </w:p>
        </w:tc>
      </w:tr>
      <w:tr w:rsidR="00462862" w:rsidRPr="00B91D66" w:rsidTr="00B84153">
        <w:tc>
          <w:tcPr>
            <w:tcW w:w="1526" w:type="dxa"/>
            <w:vMerge w:val="restart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podstawowa</w:t>
            </w:r>
          </w:p>
        </w:tc>
        <w:tc>
          <w:tcPr>
            <w:tcW w:w="6484" w:type="dxa"/>
            <w:shd w:val="clear" w:color="auto" w:fill="auto"/>
          </w:tcPr>
          <w:p w:rsidR="003D74B6" w:rsidRPr="00494C5D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 </w:t>
            </w:r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Gołąb, M. </w:t>
            </w:r>
            <w:proofErr w:type="spellStart"/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Jakóbisiak</w:t>
            </w:r>
            <w:proofErr w:type="spellEnd"/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W. Lasek, "Immunologia", PWN, 2007; 201</w:t>
            </w:r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7</w:t>
            </w:r>
          </w:p>
          <w:p w:rsidR="00494C5D" w:rsidRPr="00494C5D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 </w:t>
            </w:r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„Immunologia” pod redakcją Krzysztofa </w:t>
            </w:r>
            <w:proofErr w:type="spellStart"/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BryniarskiegoUrban&amp;Partner</w:t>
            </w:r>
            <w:proofErr w:type="spellEnd"/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2017</w:t>
            </w:r>
          </w:p>
          <w:p w:rsidR="003D74B6" w:rsidRPr="00462862" w:rsidRDefault="00494C5D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Male D.,  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Brostoff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J., Roth D.B., 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Roitt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I.: "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Immunologia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", (pod red.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Żeromskiego),  </w:t>
            </w:r>
            <w:proofErr w:type="spellStart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Urban&amp;Partner</w:t>
            </w:r>
            <w:proofErr w:type="spellEnd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, </w:t>
            </w:r>
          </w:p>
        </w:tc>
      </w:tr>
      <w:tr w:rsidR="00462862" w:rsidRPr="00B91D66" w:rsidTr="00B84153">
        <w:tc>
          <w:tcPr>
            <w:tcW w:w="1526" w:type="dxa"/>
            <w:vMerge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766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uzupełniająca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 Kowalski M.L. „Immunologia kliniczna”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Mediton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2001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2. Abbas A.K.,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Lichtman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A.H.: “Basic Immunology: Functions and Disorders of the Immune System”.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Saunders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2011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 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Chapel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H.,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Haeney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M.,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Micbah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S.,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Snowden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N.: „Immunologia kliniczna”, wyd.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Czelej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 2009</w:t>
            </w:r>
          </w:p>
          <w:p w:rsidR="00494C5D" w:rsidRPr="00462862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Roitt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Brostoff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J.,  Male D.:  "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", (pod red. 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Żeromskiego), Wyd. I, Wyd. Med. Słotwiński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Verlag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, Brema, PZWL, 2001;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 xml:space="preserve">CELE, TREŚCI I EFEKTY </w:t>
      </w:r>
      <w:r w:rsidR="009856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 xml:space="preserve">UCZENIA SIĘ 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62862" w:rsidRPr="00462862" w:rsidTr="00BA0CDB">
        <w:trPr>
          <w:trHeight w:val="1275"/>
        </w:trPr>
        <w:tc>
          <w:tcPr>
            <w:tcW w:w="9781" w:type="dxa"/>
            <w:shd w:val="clear" w:color="auto" w:fill="FFFFFF"/>
          </w:tcPr>
          <w:p w:rsidR="00B84153" w:rsidRPr="00462862" w:rsidRDefault="00B84153" w:rsidP="00B8415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Cele przedmiotu (z uwzględnieniem formy zajęć)</w:t>
            </w:r>
          </w:p>
          <w:p w:rsidR="00B84153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Wykład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C1-W</w:t>
            </w: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Budowy i funkcji układu odpornościowego.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C2-W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Rodzajów odpowiedzi immunologicznej.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C3-W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Budowy i roli głównego układ zgodności tkankowej HLA.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C4-W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Rozwoju zjawisk tolerancji i autoagresji. 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C5-W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Rodzajach reakcji nadwrażliwości.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C6-W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Podstaw immunologii nowotworów.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C7-W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Immunologii okresu noworodkowego i dziecięcego.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C8-W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Odporności przeciwzakaźnej. Immunoprofilaktyki czynnej i biernej.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C9-W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Pierwotnych i wtórnych niedoborów odporności.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 xml:space="preserve">C10-W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Zmian zachodzących w układzie immunologicznym w progresji wieku. 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Ćwiczenia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C1-U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Student powinien </w:t>
            </w:r>
            <w:proofErr w:type="spellStart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umieć:zaplanować</w:t>
            </w:r>
            <w:proofErr w:type="spellEnd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badania immunologiczne w ramach diagnostyki chorób z autoimmunizacji, chorób alergicznych, chorób rozrostowych układu krwiotwórczego, pierwotnych i wtórnych niedoborów odporności oraz zinterpretować wyniki powyższych badań. 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C2-U –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Zaplanować schemat leczenia immunomodulacyjnego.</w:t>
            </w:r>
          </w:p>
          <w:p w:rsidR="003D74B6" w:rsidRPr="00BA0CDB" w:rsidRDefault="00B84153" w:rsidP="00BA0CD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Laboratoria</w:t>
            </w:r>
          </w:p>
        </w:tc>
      </w:tr>
      <w:tr w:rsidR="00462862" w:rsidRPr="00462862" w:rsidTr="00096EBC">
        <w:trPr>
          <w:trHeight w:val="425"/>
        </w:trPr>
        <w:tc>
          <w:tcPr>
            <w:tcW w:w="9781" w:type="dxa"/>
            <w:shd w:val="clear" w:color="auto" w:fill="FFFFFF"/>
          </w:tcPr>
          <w:p w:rsidR="00B84153" w:rsidRPr="00462862" w:rsidRDefault="00B84153" w:rsidP="00096EBC">
            <w:pPr>
              <w:numPr>
                <w:ilvl w:val="1"/>
                <w:numId w:val="2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lastRenderedPageBreak/>
              <w:t xml:space="preserve"> Treści programowe (z uwzględnieniem formy zajęć)</w:t>
            </w:r>
          </w:p>
          <w:p w:rsidR="00B84153" w:rsidRPr="00462862" w:rsidRDefault="00B84153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Wykłady: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Informacje ogólne dotyczące przedmiotu „Immunologia”; kroki milowe w rozwoju nauki o odporności.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Budowa i funkcje układu odpornościowego.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Rodzaje odpowiedzi immunologicznej – odporność wrodzona.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Rodzaje odpowiedzi immunologicznej – odporność nabyta. Immunoglobuliny.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Główny układ zgodności tkankowej. Tolerancja immunologiczna.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Reakcje nadwrażliwości.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Odporność przeciwzakaźna. Szczepienia i immunoprofilaktyka.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Podstawy immunologii nowotworów.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Pierwotne niedobory odporności. Wtórne niedobory odporności.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Starzenie się układu immunologicznego.  Immunomodulacja  – wskazania kliniczne i monitorowanie leczenia.</w:t>
            </w:r>
          </w:p>
          <w:p w:rsidR="00B84153" w:rsidRPr="00462862" w:rsidRDefault="001A49CD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Ćwiczenia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Morfologia komórek układu immunologicznego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Cechy i rodzaje zapalenia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Cytometria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przepływowa 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Reakcje nadwrażliwości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Alergie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Konflikt serologiczny matczyno-płodowy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Niedobory odporności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Leczenie immunomodulacyjne</w:t>
            </w:r>
          </w:p>
          <w:p w:rsidR="001A49CD" w:rsidRPr="00462862" w:rsidRDefault="001A49CD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Laboratoria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Fagocytoza –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Układ dopełniacza -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Cechy i rodzaje zapalenia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Cytometria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przepływowa – zajęcia praktyczne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Metody immunologiczne w ocenie reakcji nieswoistych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Immunoglobuliny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Immunoglobuliny - metody diagnostyczne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Diagnostyka laboratoryjna reakcji nadwrażliwości i alergii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Niedobory odporności metody diagnostyczne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Dobór dawca – biorca w zakresie układu HLA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 -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Metody immunoenzymatyczne w ocenie reakcji swoistych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Interpretacja wyników badań immunologicznych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Opis przypadku, planowanie badań</w:t>
            </w:r>
          </w:p>
        </w:tc>
      </w:tr>
    </w:tbl>
    <w:p w:rsidR="003D74B6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Pr="00462862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3D74B6" w:rsidRPr="0098567B" w:rsidRDefault="001A49CD" w:rsidP="0098567B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proofErr w:type="spellStart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Przedmiotowe</w:t>
      </w:r>
      <w:proofErr w:type="spellEnd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efekty</w:t>
      </w:r>
      <w:proofErr w:type="spellEnd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uczenia</w:t>
      </w:r>
      <w:proofErr w:type="spellEnd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się</w:t>
      </w:r>
      <w:proofErr w:type="spellEnd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201DB8" w:rsidRPr="00462862" w:rsidRDefault="00201DB8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377"/>
        <w:gridCol w:w="1559"/>
      </w:tblGrid>
      <w:tr w:rsidR="00462862" w:rsidRPr="005718DD" w:rsidTr="00096EBC">
        <w:trPr>
          <w:trHeight w:val="45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Efekt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Student, który zaliczył przedmiot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  <w:lang w:val="pl-PL"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 xml:space="preserve">Odniesienie do kierunkowych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efektów</w:t>
            </w:r>
            <w:r w:rsidR="0098567B" w:rsidRPr="0098567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 xml:space="preserve"> się</w:t>
            </w:r>
          </w:p>
        </w:tc>
      </w:tr>
      <w:tr w:rsidR="00462862" w:rsidRPr="005718DD" w:rsidTr="00096EBC">
        <w:trPr>
          <w:trHeight w:val="67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</w:pPr>
          </w:p>
        </w:tc>
        <w:tc>
          <w:tcPr>
            <w:tcW w:w="7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  <w:lang w:val="pl-PL" w:eastAsia="pl-PL"/>
              </w:rPr>
            </w:pPr>
          </w:p>
        </w:tc>
      </w:tr>
      <w:tr w:rsidR="00462862" w:rsidRPr="005718DD" w:rsidTr="00096EBC">
        <w:trPr>
          <w:trHeight w:val="3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  <w:t xml:space="preserve">w zakresie </w:t>
            </w:r>
            <w:proofErr w:type="spellStart"/>
            <w:r w:rsidR="00924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WIEDZ</w:t>
            </w:r>
            <w:r w:rsidR="00C97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Y</w:t>
            </w:r>
            <w:r w:rsidR="00924C0C" w:rsidRPr="00924C0C">
              <w:rPr>
                <w:rFonts w:ascii="Times New Roman" w:eastAsia="Times New Roman" w:hAnsi="Times New Roman" w:cs="Times New Roman"/>
                <w:bCs/>
                <w:color w:val="000000" w:themeColor="text1"/>
                <w:lang w:val="pl-PL" w:eastAsia="pl-PL"/>
              </w:rPr>
              <w:t>absolwent</w:t>
            </w:r>
            <w:proofErr w:type="spellEnd"/>
            <w:r w:rsidR="00924C0C" w:rsidRPr="00924C0C">
              <w:rPr>
                <w:rFonts w:ascii="Times New Roman" w:eastAsia="Times New Roman" w:hAnsi="Times New Roman" w:cs="Times New Roman"/>
                <w:bCs/>
                <w:color w:val="000000" w:themeColor="text1"/>
                <w:lang w:val="pl-PL" w:eastAsia="pl-PL"/>
              </w:rPr>
              <w:t xml:space="preserve"> zna i rozumie</w:t>
            </w:r>
            <w:r w:rsidRPr="00924C0C"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  <w:t>:</w:t>
            </w:r>
          </w:p>
        </w:tc>
      </w:tr>
      <w:tr w:rsidR="00462862" w:rsidRPr="00462862" w:rsidTr="006E47C2">
        <w:trPr>
          <w:trHeight w:val="5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podstawy rozwoju i mechanizmy działania układu odpornościowego, w tym swoiste i nieswoiste mechanizmy odporności humoralnej i komórkowej;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C.W21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1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główny układ zgodności tkankowej;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C.W22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6E47C2">
        <w:trPr>
          <w:trHeight w:val="5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typy reakcji nadwrażliwości, rodzaje niedoborów odporności </w:t>
            </w:r>
            <w:r w:rsidR="00924C0C"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</w:t>
            </w: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podstawy immunomodulacji;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C.W23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3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1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zagadnienia z zakresu immunologii nowotworów;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C.W24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6E47C2">
        <w:trPr>
          <w:trHeight w:val="5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genetyczne podstawy doboru dawcy i biorcy oraz podstawy immunologii transplantacyjnej;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C.W25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32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 zakresie </w:t>
            </w:r>
            <w:proofErr w:type="spellStart"/>
            <w:r w:rsidRPr="006E4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UMIEJĘTNOŚCI</w:t>
            </w:r>
            <w:r w:rsidR="00924C0C" w:rsidRPr="006E47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>absolwent</w:t>
            </w:r>
            <w:proofErr w:type="spellEnd"/>
            <w:r w:rsidR="00924C0C" w:rsidRPr="006E47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 potrafi</w:t>
            </w: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:</w:t>
            </w:r>
          </w:p>
        </w:tc>
      </w:tr>
      <w:tr w:rsidR="00462862" w:rsidRPr="00462862" w:rsidTr="00096EBC">
        <w:trPr>
          <w:trHeight w:val="6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0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posługiwać się reakcją antygen – przeciwciało w aktualnych modyfikacjach</w:t>
            </w:r>
          </w:p>
          <w:p w:rsidR="00096EB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 technikach dla diagnostyki chorób zakaźnych, alergicznych, autoimmunizacyjnych i nowotworowych oraz chorób krwi;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096EBC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C.U8.</w:t>
            </w:r>
          </w:p>
        </w:tc>
      </w:tr>
      <w:tr w:rsidR="005718DD" w:rsidRPr="00462862" w:rsidTr="006E47C2">
        <w:trPr>
          <w:trHeight w:val="5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DD" w:rsidRPr="006E47C2" w:rsidRDefault="005718DD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DD" w:rsidRPr="006E47C2" w:rsidRDefault="005718DD" w:rsidP="0057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analizować zjawiska odczynowe, obronne i przystosowawcze oraz zaburzenia</w:t>
            </w:r>
          </w:p>
          <w:p w:rsidR="005718DD" w:rsidRPr="006E47C2" w:rsidRDefault="005718DD" w:rsidP="0057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regulacji wywoływane przez czynnik etiologiczny;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DD" w:rsidRPr="006E47C2" w:rsidRDefault="005718DD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C.U12</w:t>
            </w:r>
          </w:p>
        </w:tc>
      </w:tr>
      <w:tr w:rsidR="006E47C2" w:rsidRPr="00462862" w:rsidTr="006E47C2">
        <w:trPr>
          <w:trHeight w:val="55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47C2" w:rsidRDefault="006E47C2" w:rsidP="006E47C2">
            <w:pPr>
              <w:spacing w:after="0" w:line="240" w:lineRule="auto"/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zakresie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absolwent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7C2" w:rsidRPr="00462862" w:rsidTr="006E47C2">
        <w:trPr>
          <w:trHeight w:val="5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dostrzegania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rozpoznawania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ograniczeń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dokonywania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samooceny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deficytów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potrzeb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edukacyjnych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6E47C2" w:rsidRPr="00462862" w:rsidTr="006E47C2">
        <w:trPr>
          <w:trHeight w:val="2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korzystania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obiektywnych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źródeł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6E47C2" w:rsidRPr="00462862" w:rsidTr="006E47C2">
        <w:trPr>
          <w:trHeight w:val="2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pomiarów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obserwacji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6E47C2" w:rsidRPr="00462862" w:rsidTr="00673E82">
        <w:trPr>
          <w:trHeight w:val="6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wdrażania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zasad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koleżeństwa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zespole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specjalistów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przedstawicielami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medycznych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także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środowisku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wielokulturowym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wielonarodowościowym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6E47C2" w:rsidRPr="00462862" w:rsidTr="006E47C2">
        <w:trPr>
          <w:trHeight w:val="4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opinii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dotyczących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aspektów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6E47C2" w:rsidRPr="00462862" w:rsidTr="006E47C2">
        <w:trPr>
          <w:trHeight w:val="4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przyjęcia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odpowiedzialności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związanej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decyzjami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podejmowanymi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ramach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kategoriach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bezpieczeństwa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osób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5718DD" w:rsidRPr="00462862" w:rsidRDefault="005718DD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  <w:bookmarkStart w:id="4" w:name="_GoBack"/>
      <w:bookmarkEnd w:id="4"/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62862" w:rsidRPr="005718DD" w:rsidTr="00423AD3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98567B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Sposoby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weryfikacji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osiągnięcia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przedmiotowych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się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przedmiotowe</w:t>
            </w:r>
            <w:proofErr w:type="spellEnd"/>
          </w:p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Sposób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weryfikacji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62862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pl-PL"/>
              </w:rPr>
              <w:t>(+/-)</w:t>
            </w:r>
          </w:p>
        </w:tc>
      </w:tr>
      <w:tr w:rsidR="00462862" w:rsidRPr="00462862" w:rsidTr="00423AD3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Egzamin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ustny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/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pisemny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Kolokwium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Projekt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Aktywność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             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na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zajęciach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Praca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własna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Praca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                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grupie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Inne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(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jakie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?)</w:t>
            </w: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highlight w:val="lightGray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Obserwacjs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91D66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B91D66" w:rsidRPr="00462862" w:rsidRDefault="00B91D66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91D66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B91D66" w:rsidRPr="00462862" w:rsidRDefault="00B91D66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18DD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5718DD" w:rsidRPr="00462862" w:rsidRDefault="006E47C2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K01-K06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62862" w:rsidRPr="005718DD" w:rsidTr="00423AD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98567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Kryteria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stopnia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osiągnięcia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się</w:t>
            </w:r>
            <w:proofErr w:type="spellEnd"/>
          </w:p>
        </w:tc>
      </w:tr>
      <w:tr w:rsidR="00462862" w:rsidRPr="00462862" w:rsidTr="00423AD3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Ocena</w:t>
            </w:r>
            <w:proofErr w:type="spellEnd"/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Kryterium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oceny</w:t>
            </w:r>
            <w:proofErr w:type="spellEnd"/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wykład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61-68%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  <w:t>ćwiczenia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61-68%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862" w:rsidRPr="00462862" w:rsidRDefault="00462862" w:rsidP="00462862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20"/>
                <w:lang w:eastAsia="pl-PL"/>
              </w:rPr>
              <w:t>Labo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61-68%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</w:tbl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462862" w:rsidRPr="00462862" w:rsidTr="00551569">
        <w:trPr>
          <w:trHeight w:val="279"/>
        </w:trPr>
        <w:tc>
          <w:tcPr>
            <w:tcW w:w="9848" w:type="dxa"/>
            <w:shd w:val="clear" w:color="auto" w:fill="F2F2F2"/>
          </w:tcPr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Warunki uzyskania zaliczenia przedmiotu: </w:t>
            </w:r>
          </w:p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1. Warunkiem dopuszczenia do egzaminu jest zaliczenie wszystkich ćwiczeń (i pisemnych sprawdzianów) oraz obecność na wszystkich wykładach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2. Na ćwiczeniach obowiązuje znajomość części teoretycznej i praktycznej nie tylko bieżącego ćwiczenia, ale również zagadnień omawianych wcześniej i wiążących się z tematem ćwiczenia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 Wszyscy studenci będą oceniani na każdym ćwiczeniu.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4. Ocenę, w tym niedostateczną, można poprawiać tylko raz w ciągu 14-stu dni, na kolejno przypadających  ćwiczeniach. Poprawa sprawdzianów będzie odbywać się w terminie 2-tygodniowym.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5. Regulamin studiów nie dopuszcza nieobecności nieusprawiedliwionych.  Nieobecność usprawiedliwioną można zaliczyć na kolejnym ćwiczeniu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6. Za w/w sprawy organizacyjne odpowiada asystent prowadzący ćwiczenia z daną grupą studentów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7. Egzamin końcowy pisemny</w:t>
            </w:r>
          </w:p>
          <w:p w:rsidR="003D74B6" w:rsidRPr="00462862" w:rsidRDefault="003D74B6" w:rsidP="00D1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  <w:tr w:rsidR="00462862" w:rsidRPr="005718DD" w:rsidTr="00551569">
        <w:trPr>
          <w:trHeight w:val="425"/>
        </w:trPr>
        <w:tc>
          <w:tcPr>
            <w:tcW w:w="9848" w:type="dxa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Kryteria oceny ustnej odpowiedzi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1.Udzielenie wyczerpującej temat /zadanie/ odpowiedzi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2.Umiejętność integracji wiedzy z dziedzin / przedmiotów/pokrewnych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3.Samodzielność lub/i kreatywność w prezentacji problematyki, propozycje rozwiązań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4.Prezentacja aktualnej wiedzy związanej z przedmiotem /dziedziną/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5. Rozpoznanie problemów wynikających z zadania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Kryteria oceny pisemnej  odpowiedzi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1.Zgodność treści z tematem pracy/ zadaniem/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2.Udzielenie odpowiedzi  wyczerpującej temat /zadanie/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3.Umiejętność integracji wiedzy z dziedzin / przedmiotów/pokrewnych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4.Samodzielność lub/i kreatywność w prezentacji problematyki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5.Prezentacja aktualnej wiedzy związanej z przedmiotem /dziedziną/, trafny dobór literatury </w:t>
            </w:r>
          </w:p>
        </w:tc>
      </w:tr>
    </w:tbl>
    <w:p w:rsidR="003D74B6" w:rsidRPr="00462862" w:rsidRDefault="003D74B6" w:rsidP="000006CC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pl-PL" w:eastAsia="pl-PL"/>
        </w:rPr>
      </w:pPr>
    </w:p>
    <w:p w:rsidR="003D74B6" w:rsidRDefault="003D74B6" w:rsidP="00BD46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BILANS PUNKTÓW ECTS – NAKŁAD PRACY STUDENTA</w:t>
      </w:r>
    </w:p>
    <w:p w:rsidR="0098567B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8567B" w:rsidRPr="0098567B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studenta</w:t>
            </w:r>
            <w:proofErr w:type="spellEnd"/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  <w:proofErr w:type="spellEnd"/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40</w:t>
            </w:r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15</w:t>
            </w:r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ćwiczeniach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zaliczeniowym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476" w:type="dxa"/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35</w:t>
            </w: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BA0CD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BA0CD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10</w:t>
            </w: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ćwiczeń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Zebranie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materiałów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projektu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kwerenda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internetowa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Opracowanie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prezentacji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multimedialnej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należy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wskazać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214A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75</w:t>
            </w:r>
          </w:p>
        </w:tc>
      </w:tr>
      <w:tr w:rsidR="0098567B" w:rsidRPr="0098567B" w:rsidTr="00214A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 xml:space="preserve">PUNKTY ECTS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za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przedmiot</w:t>
            </w:r>
            <w:proofErr w:type="spellEnd"/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</w:t>
            </w:r>
          </w:p>
        </w:tc>
      </w:tr>
    </w:tbl>
    <w:p w:rsidR="0098567B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98567B" w:rsidRPr="00462862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pl-PL" w:eastAsia="pl-PL"/>
        </w:rPr>
        <w:t>Przyjmuję do realizacji</w:t>
      </w:r>
      <w:r w:rsidRPr="00462862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lang w:val="pl-PL" w:eastAsia="pl-PL"/>
        </w:rPr>
        <w:t>(data i podpisy osób prowadzących przedmiot w danym roku akademickim)</w:t>
      </w: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</w:pP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</w:pPr>
      <w:r w:rsidRPr="0046286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  <w:t>……………………………………………………………………………………………………………………….</w:t>
      </w:r>
    </w:p>
    <w:p w:rsidR="00BD4653" w:rsidRPr="00462862" w:rsidRDefault="00BD4653" w:rsidP="00D1138B">
      <w:pPr>
        <w:rPr>
          <w:color w:val="000000" w:themeColor="text1"/>
        </w:rPr>
      </w:pPr>
    </w:p>
    <w:sectPr w:rsidR="00BD4653" w:rsidRPr="00462862" w:rsidSect="003C7E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2E6023"/>
    <w:multiLevelType w:val="hybridMultilevel"/>
    <w:tmpl w:val="DAF2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2007"/>
    <w:multiLevelType w:val="multilevel"/>
    <w:tmpl w:val="A0DC9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C95660"/>
    <w:multiLevelType w:val="hybridMultilevel"/>
    <w:tmpl w:val="B94A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557"/>
    <w:multiLevelType w:val="hybridMultilevel"/>
    <w:tmpl w:val="87843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F3C3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6E63D0"/>
    <w:multiLevelType w:val="hybridMultilevel"/>
    <w:tmpl w:val="863C541E"/>
    <w:lvl w:ilvl="0" w:tplc="91FCF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8A452C4"/>
    <w:multiLevelType w:val="multilevel"/>
    <w:tmpl w:val="DAF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099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84765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74B6"/>
    <w:rsid w:val="000006CC"/>
    <w:rsid w:val="00096EBC"/>
    <w:rsid w:val="000E2361"/>
    <w:rsid w:val="001A49CD"/>
    <w:rsid w:val="00200203"/>
    <w:rsid w:val="00201DB8"/>
    <w:rsid w:val="003C7E25"/>
    <w:rsid w:val="003D74B6"/>
    <w:rsid w:val="0041357E"/>
    <w:rsid w:val="00462862"/>
    <w:rsid w:val="00494C5D"/>
    <w:rsid w:val="00551569"/>
    <w:rsid w:val="005718DD"/>
    <w:rsid w:val="00643DE6"/>
    <w:rsid w:val="006C75E4"/>
    <w:rsid w:val="006E47C2"/>
    <w:rsid w:val="00712C25"/>
    <w:rsid w:val="00924C0C"/>
    <w:rsid w:val="0098567B"/>
    <w:rsid w:val="00B84153"/>
    <w:rsid w:val="00B91D66"/>
    <w:rsid w:val="00BA0CDB"/>
    <w:rsid w:val="00BB1CD7"/>
    <w:rsid w:val="00BD4653"/>
    <w:rsid w:val="00BE4030"/>
    <w:rsid w:val="00C267DC"/>
    <w:rsid w:val="00C63CFA"/>
    <w:rsid w:val="00C9788E"/>
    <w:rsid w:val="00CE5592"/>
    <w:rsid w:val="00D1138B"/>
    <w:rsid w:val="00E0456A"/>
    <w:rsid w:val="00ED79C7"/>
    <w:rsid w:val="00F8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7DF2"/>
  <w15:docId w15:val="{BAF31C4F-D799-452E-AAEA-07DD03A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DB8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153"/>
    <w:pPr>
      <w:ind w:left="720"/>
      <w:contextualSpacing/>
    </w:pPr>
  </w:style>
  <w:style w:type="table" w:customStyle="1" w:styleId="TableGrid">
    <w:name w:val="TableGrid"/>
    <w:rsid w:val="00C267DC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dc:description/>
  <cp:lastModifiedBy>Emilia Kotlarz</cp:lastModifiedBy>
  <cp:revision>6</cp:revision>
  <dcterms:created xsi:type="dcterms:W3CDTF">2020-02-17T06:53:00Z</dcterms:created>
  <dcterms:modified xsi:type="dcterms:W3CDTF">2020-06-16T08:45:00Z</dcterms:modified>
</cp:coreProperties>
</file>